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60" w:rsidRPr="00962762" w:rsidRDefault="004F5ECA" w:rsidP="007A4EE1">
      <w:pPr>
        <w:tabs>
          <w:tab w:val="left" w:pos="402"/>
          <w:tab w:val="center" w:pos="4819"/>
        </w:tabs>
        <w:jc w:val="center"/>
        <w:rPr>
          <w:szCs w:val="28"/>
        </w:rPr>
      </w:pPr>
      <w:r>
        <w:rPr>
          <w:noProof/>
          <w:sz w:val="28"/>
          <w:szCs w:val="28"/>
        </w:rPr>
        <w:pict>
          <v:rect id="_x0000_s1446" style="position:absolute;left:0;text-align:left;margin-left:17.7pt;margin-top:.95pt;width:51.5pt;height:14.4pt;z-index:31" fillcolor="#d8d8d8">
            <v:textbox inset="5.85pt,.7pt,5.85pt,.7pt">
              <w:txbxContent>
                <w:p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w:r>
      <w:r>
        <w:rPr>
          <w:noProof/>
          <w:sz w:val="28"/>
          <w:szCs w:val="28"/>
        </w:rPr>
        <w:pict>
          <v:shapetype id="_x0000_t202" coordsize="21600,21600" o:spt="202" path="m,l,21600r21600,l21600,xe">
            <v:stroke joinstyle="miter"/>
            <v:path gradientshapeok="t" o:connecttype="rect"/>
          </v:shapetype>
          <v:shape id="_x0000_s1413" type="#_x0000_t202" style="position:absolute;left:0;text-align:left;margin-left:114.2pt;margin-top:-25.2pt;width:252.9pt;height:23.75pt;z-index:25" fillcolor="#d8d8d8">
            <v:textbox inset="5.85pt,.7pt,5.85pt,.7pt">
              <w:txbxContent>
                <w:p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rsidR="00F3008F" w:rsidRDefault="00F3008F" w:rsidP="00F3008F">
                  <w:pPr>
                    <w:spacing w:line="200" w:lineRule="exact"/>
                    <w:rPr>
                      <w:sz w:val="16"/>
                      <w:szCs w:val="16"/>
                    </w:rPr>
                  </w:pPr>
                </w:p>
              </w:txbxContent>
            </v:textbox>
          </v:shape>
        </w:pic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p>
    <w:p w:rsidR="005B3201" w:rsidRPr="009666A0" w:rsidRDefault="004F5ECA" w:rsidP="007A4EE1">
      <w:pPr>
        <w:tabs>
          <w:tab w:val="left" w:pos="402"/>
          <w:tab w:val="center" w:pos="4819"/>
        </w:tabs>
        <w:jc w:val="center"/>
        <w:rPr>
          <w:sz w:val="28"/>
          <w:szCs w:val="28"/>
        </w:rPr>
      </w:pPr>
      <w:r>
        <w:rPr>
          <w:noProof/>
          <w:sz w:val="28"/>
          <w:szCs w:val="28"/>
        </w:rPr>
        <w:pict>
          <v:shape id="_x0000_s1193" type="#_x0000_t202" style="position:absolute;left:0;text-align:left;margin-left:409.1pt;margin-top:3.9pt;width:84.65pt;height:22.9pt;z-index:3" fillcolor="#d8d8d8">
            <v:textbox inset="1mm,.7pt,1mm,.7pt">
              <w:txbxContent>
                <w:p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v:textbox>
          </v:shape>
        </w:pict>
      </w:r>
      <w:r w:rsidR="005B3201" w:rsidRPr="00277FEF">
        <w:rPr>
          <w:rFonts w:hint="eastAsia"/>
          <w:sz w:val="28"/>
          <w:szCs w:val="28"/>
        </w:rPr>
        <w:t>不完全競争市場における米作農家の借地行動</w:t>
      </w:r>
    </w:p>
    <w:p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rsidR="005B3201" w:rsidRPr="005A5364" w:rsidRDefault="004F5ECA" w:rsidP="00D14D51">
      <w:r>
        <w:rPr>
          <w:noProof/>
        </w:rPr>
        <w:pict>
          <v:shape id="_x0000_s1194" type="#_x0000_t202" style="position:absolute;left:0;text-align:left;margin-left:299.4pt;margin-top:1.2pt;width:194.45pt;height:11.25pt;z-index:4" fillcolor="#d8d8d8">
            <v:textbox inset="5.85pt,.7pt,5.85pt,.7pt">
              <w:txbxContent>
                <w:p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v:textbox>
          </v:shape>
        </w:pict>
      </w:r>
      <w:r>
        <w:rPr>
          <w:noProof/>
          <w:sz w:val="28"/>
          <w:szCs w:val="28"/>
        </w:rPr>
        <w:pict>
          <v:shape id="_x0000_s1399" type="#_x0000_t202" style="position:absolute;left:0;text-align:left;margin-left:-35.05pt;margin-top:3.6pt;width:49.9pt;height:12pt;z-index:12" fillcolor="#d8d8d8">
            <v:textbox style="mso-next-textbox:#_x0000_s1399"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r>
        <w:rPr>
          <w:rFonts w:eastAsia="ＭＳ Ｐゴシック"/>
          <w:noProof/>
          <w:sz w:val="28"/>
        </w:rPr>
        <w:pict>
          <v:shape id="_x0000_s1201" type="#_x0000_t202" style="position:absolute;left:0;text-align:left;margin-left:87.95pt;margin-top:4.45pt;width:140.8pt;height:12.15pt;z-index:5" fillcolor="#d8d8d8">
            <v:textbox style="mso-next-textbox:#_x0000_s1201;mso-fit-shape-to-text:t" inset="1mm,.7pt,1mm,.7pt">
              <w:txbxContent>
                <w:p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v:textbox>
          </v:shape>
        </w:pict>
      </w:r>
    </w:p>
    <w:p w:rsidR="005B3201" w:rsidRPr="00DA4015" w:rsidRDefault="004F5ECA" w:rsidP="00DA4015">
      <w:pPr>
        <w:jc w:val="center"/>
        <w:rPr>
          <w:rFonts w:eastAsia="ＭＳ Ｐゴシック"/>
          <w:sz w:val="28"/>
        </w:rPr>
      </w:pPr>
      <w:r>
        <w:rPr>
          <w:noProof/>
          <w:sz w:val="28"/>
          <w:szCs w:val="28"/>
        </w:rPr>
        <w:pict>
          <v:shape id="_x0000_s1397" type="#_x0000_t202" style="position:absolute;left:0;text-align:left;margin-left:327pt;margin-top:6.2pt;width:166.65pt;height:12.15pt;z-index:10" fillcolor="#d8d8d8">
            <v:textbox style="mso-next-textbox:#_x0000_s1397;mso-fit-shape-to-text:t" inset="1mm,.7pt,1mm,.7pt">
              <w:txbxContent>
                <w:p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w:r>
      <w:r>
        <w:rPr>
          <w:noProof/>
          <w:sz w:val="28"/>
          <w:szCs w:val="28"/>
        </w:rPr>
        <w:pict>
          <v:shape id="_x0000_s1398" type="#_x0000_t202" style="position:absolute;left:0;text-align:left;margin-left:88.55pt;margin-top:26pt;width:219.45pt;height:11.35pt;z-index:11" fillcolor="#d8d8d8">
            <v:textbox style="mso-next-textbox:#_x0000_s1398" inset="1mm,.7pt,1mm,.7pt">
              <w:txbxContent>
                <w:p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rsidR="005B3201" w:rsidRPr="005A5364" w:rsidRDefault="004F5ECA" w:rsidP="00F3067C">
      <w:r>
        <w:rPr>
          <w:noProof/>
        </w:rPr>
        <w:pict>
          <v:shape id="_x0000_s1400" type="#_x0000_t202" style="position:absolute;left:0;text-align:left;margin-left:-35.4pt;margin-top:2.65pt;width:49.9pt;height:12pt;z-index:13" fillcolor="#d8d8d8">
            <v:textbox style="mso-next-textbox:#_x0000_s1400"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rsidR="005B3201" w:rsidRPr="008806DA" w:rsidRDefault="004F5ECA" w:rsidP="00F3067C">
      <w:r>
        <w:rPr>
          <w:noProof/>
          <w:kern w:val="0"/>
          <w:sz w:val="28"/>
          <w:szCs w:val="28"/>
        </w:rPr>
        <w:pict>
          <v:shape id="_x0000_s1405" type="#_x0000_t202" style="position:absolute;left:0;text-align:left;margin-left:191.4pt;margin-top:2.35pt;width:250.3pt;height:12pt;z-index:18" fillcolor="#d8d8d8">
            <v:textbox inset="5.85pt,.7pt,5.85pt,.7pt">
              <w:txbxContent>
                <w:p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v:textbox>
          </v:shape>
        </w:pict>
      </w:r>
      <w:r>
        <w:rPr>
          <w:noProof/>
        </w:rPr>
        <w:pict>
          <v:shape id="_x0000_s1406" type="#_x0000_t202" style="position:absolute;left:0;text-align:left;margin-left:56.3pt;margin-top:14.6pt;width:103.1pt;height:34.05pt;z-index:19" fillcolor="#d8d8d8">
            <v:textbox inset="5.85pt,.7pt,5.85pt,.7pt">
              <w:txbxContent>
                <w:p w:rsidR="00A25B29" w:rsidRDefault="00D1723D" w:rsidP="00D1723D">
                  <w:pPr>
                    <w:spacing w:line="200" w:lineRule="exact"/>
                    <w:rPr>
                      <w:sz w:val="16"/>
                      <w:szCs w:val="16"/>
                    </w:rPr>
                  </w:pPr>
                  <w:r>
                    <w:rPr>
                      <w:sz w:val="16"/>
                      <w:szCs w:val="16"/>
                    </w:rPr>
                    <w:t>執筆者名の英語表記：</w:t>
                  </w:r>
                </w:p>
                <w:p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v:textbox>
          </v:shape>
        </w:pict>
      </w:r>
      <w:r>
        <w:rPr>
          <w:noProof/>
          <w:sz w:val="28"/>
          <w:szCs w:val="28"/>
        </w:rPr>
        <w:pict>
          <v:shape id="_x0000_s1401" type="#_x0000_t202" style="position:absolute;left:0;text-align:left;margin-left:-35.05pt;margin-top:.45pt;width:49.9pt;height:12pt;z-index:14" fillcolor="#d8d8d8">
            <v:textbox style="mso-next-textbox:#_x0000_s1401"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4F5ECA" w:rsidP="00DA4015">
      <w:pPr>
        <w:jc w:val="center"/>
      </w:pPr>
      <w:r>
        <w:rPr>
          <w:noProof/>
        </w:rPr>
        <w:pict>
          <v:shape id="_x0000_s1407" type="#_x0000_t202" style="position:absolute;left:0;text-align:left;margin-left:319.85pt;margin-top:3pt;width:122.3pt;height:34.05pt;z-index:20" fillcolor="#d8d8d8">
            <v:textbox inset="5.85pt,.7pt,5.85pt,.7pt">
              <w:txbxContent>
                <w:p w:rsidR="00A25B29" w:rsidRDefault="00A25B29" w:rsidP="00A25B29">
                  <w:pPr>
                    <w:spacing w:line="200" w:lineRule="exact"/>
                    <w:rPr>
                      <w:sz w:val="16"/>
                      <w:szCs w:val="16"/>
                    </w:rPr>
                  </w:pPr>
                  <w:r>
                    <w:rPr>
                      <w:sz w:val="16"/>
                      <w:szCs w:val="16"/>
                    </w:rPr>
                    <w:t>所属の英語表記：和文原稿のみ</w:t>
                  </w:r>
                </w:p>
                <w:p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v:textbox>
          </v:shape>
        </w:pict>
      </w:r>
      <w:r w:rsidR="005B3201">
        <w:rPr>
          <w:rFonts w:hint="eastAsia"/>
        </w:rPr>
        <w:t>Ueo</w:t>
      </w:r>
      <w:r w:rsidR="005B3201" w:rsidRPr="008806DA">
        <w:t xml:space="preserve"> </w:t>
      </w:r>
      <w:r w:rsidR="005B3201">
        <w:rPr>
          <w:rFonts w:hint="eastAsia"/>
        </w:rPr>
        <w:t>AIUE</w:t>
      </w:r>
      <w:r w:rsidR="005B3201" w:rsidRPr="008806DA">
        <w:t xml:space="preserve"> (</w:t>
      </w:r>
      <w:r w:rsidR="005B3201">
        <w:rPr>
          <w:rFonts w:hint="eastAsia"/>
        </w:rPr>
        <w:t>Kakiku</w:t>
      </w:r>
      <w:r w:rsidR="005B3201" w:rsidRPr="008806DA">
        <w:t xml:space="preserve"> University)</w:t>
      </w:r>
    </w:p>
    <w:p w:rsidR="005B3201" w:rsidRPr="008806DA" w:rsidRDefault="005B3201" w:rsidP="00DA4015">
      <w:pPr>
        <w:jc w:val="center"/>
      </w:pPr>
      <w:r>
        <w:rPr>
          <w:rFonts w:hint="eastAsia"/>
        </w:rPr>
        <w:t>Tsuteto</w:t>
      </w:r>
      <w:r w:rsidRPr="008806DA">
        <w:t xml:space="preserve"> </w:t>
      </w:r>
      <w:r>
        <w:rPr>
          <w:rFonts w:hint="eastAsia"/>
        </w:rPr>
        <w:t>TACHI</w:t>
      </w:r>
      <w:r w:rsidRPr="008806DA">
        <w:t xml:space="preserve"> (</w:t>
      </w:r>
      <w:r>
        <w:rPr>
          <w:rFonts w:hint="eastAsia"/>
        </w:rPr>
        <w:t>Sashisu Center</w:t>
      </w:r>
      <w:r w:rsidRPr="008806DA">
        <w:t>)</w:t>
      </w:r>
    </w:p>
    <w:p w:rsidR="005B3201" w:rsidRPr="008806DA" w:rsidRDefault="004F5ECA" w:rsidP="00F3067C">
      <w:r>
        <w:rPr>
          <w:noProof/>
        </w:rPr>
        <w:pict>
          <v:shape id="_x0000_s1402" type="#_x0000_t202" style="position:absolute;left:0;text-align:left;margin-left:-35.25pt;margin-top:-.05pt;width:49.9pt;height:12pt;z-index:15" fillcolor="#d8d8d8">
            <v:textbox style="mso-next-textbox:#_x0000_s1402"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4F5ECA" w:rsidP="001E697E">
      <w:r>
        <w:rPr>
          <w:noProof/>
          <w:sz w:val="28"/>
          <w:szCs w:val="28"/>
        </w:rPr>
        <w:pict>
          <v:shape id="_x0000_s1409" type="#_x0000_t202" style="position:absolute;left:0;text-align:left;margin-left:294.25pt;margin-top:9.7pt;width:135.75pt;height:24.1pt;z-index:21" fillcolor="#d8d8d8">
            <v:textbox style="mso-next-textbox:#_x0000_s1409" inset="5.85pt,.7pt,5.85pt,.7pt">
              <w:txbxContent>
                <w:p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v:textbox>
          </v:shape>
        </w:pict>
      </w:r>
      <w:r>
        <w:rPr>
          <w:noProof/>
        </w:rPr>
        <w:pict>
          <v:shape id="_x0000_s1404" type="#_x0000_t202" style="position:absolute;left:0;text-align:left;margin-left:-35.05pt;margin-top:1.15pt;width:49.9pt;height:12pt;z-index:17" fillcolor="#d8d8d8">
            <v:textbox style="mso-next-textbox:#_x0000_s1404"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4F5ECA" w:rsidP="001B4C05">
      <w:pPr>
        <w:autoSpaceDE w:val="0"/>
        <w:autoSpaceDN w:val="0"/>
        <w:adjustRightInd w:val="0"/>
        <w:jc w:val="left"/>
        <w:rPr>
          <w:rFonts w:ascii="ＭＳ Ｐゴシック" w:eastAsia="ＭＳ Ｐゴシック" w:hAnsi="ＭＳ Ｐゴシック"/>
          <w:kern w:val="0"/>
        </w:rPr>
      </w:pPr>
      <w:r>
        <w:rPr>
          <w:noProof/>
        </w:rPr>
        <w:pict>
          <v:shape id="_x0000_s1403" type="#_x0000_t202" style="position:absolute;margin-left:-35.4pt;margin-top:3.05pt;width:49.9pt;height:12pt;z-index:16" fillcolor="#d8d8d8">
            <v:textbox style="mso-next-textbox:#_x0000_s1403"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r>
        <w:rPr>
          <w:noProof/>
        </w:rPr>
        <w:pict>
          <v:shape id="_x0000_s1410" type="#_x0000_t202" style="position:absolute;margin-left:34.15pt;margin-top:3.15pt;width:175.35pt;height:12pt;z-index:22" fillcolor="#d8d8d8">
            <v:textbox style="mso-next-textbox:#_x0000_s1410" inset="1mm,.7pt,1mm,.7pt">
              <w:txbxContent>
                <w:p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v:textbox>
          </v:shape>
        </w:pict>
      </w:r>
    </w:p>
    <w:p w:rsidR="005B3201" w:rsidRDefault="005B3201" w:rsidP="00D14D51">
      <w:pPr>
        <w:sectPr w:rsidR="005B3201" w:rsidSect="0068162F">
          <w:footerReference w:type="default" r:id="rId8"/>
          <w:pgSz w:w="11906" w:h="16838" w:code="9"/>
          <w:pgMar w:top="1418" w:right="1134" w:bottom="1418" w:left="1134" w:header="851" w:footer="851" w:gutter="0"/>
          <w:cols w:space="420"/>
          <w:docGrid w:type="linesAndChars" w:linePitch="292" w:charSpace="162"/>
        </w:sectPr>
      </w:pPr>
    </w:p>
    <w:p w:rsidR="005B3201" w:rsidRPr="00D402DD" w:rsidRDefault="008500DE" w:rsidP="002F2A3D">
      <w:pPr>
        <w:pStyle w:val="af1"/>
      </w:pPr>
      <w:r w:rsidRPr="00D402DD">
        <w:rPr>
          <w:rFonts w:hint="eastAsia"/>
        </w:rPr>
        <w:t>１．</w:t>
      </w:r>
      <w:r w:rsidR="005B3201" w:rsidRPr="00D402DD">
        <w:t>は　じ　め　に</w:t>
      </w:r>
      <w:r w:rsidR="00637574" w:rsidRPr="00637574">
        <w:rPr>
          <w:rStyle w:val="af0"/>
          <w:rFonts w:hint="eastAsia"/>
          <w:vanish/>
        </w:rPr>
        <w:footnoteReference w:customMarkFollows="1" w:id="1"/>
        <w:t>☆</w:t>
      </w:r>
    </w:p>
    <w:p w:rsidR="005B3201" w:rsidRPr="00763268" w:rsidRDefault="004F5ECA" w:rsidP="00262956">
      <w:pPr>
        <w:ind w:firstLineChars="100" w:firstLine="192"/>
      </w:pPr>
      <w:r>
        <w:rPr>
          <w:noProof/>
        </w:rPr>
        <w:pict>
          <v:shape id="_x0000_s1411" type="#_x0000_t202" style="position:absolute;left:0;text-align:left;margin-left:88.55pt;margin-top:266pt;width:145.25pt;height:24.6pt;z-index:23" fillcolor="#d8d8d8">
            <v:textbox inset="5.85pt,.7pt,5.85pt,.7pt">
              <w:txbxContent>
                <w:p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v:textbox>
          </v:shape>
        </w:pict>
      </w:r>
      <w:r>
        <w:rPr>
          <w:noProof/>
        </w:rPr>
        <w:pict>
          <v:rect id="_x0000_s1445" style="position:absolute;left:0;text-align:left;margin-left:195.15pt;margin-top:339.85pt;width:129.6pt;height:18pt;z-index:30" fillcolor="#d8d8d8">
            <v:textbox inset="5.85pt,.7pt,5.85pt,.7pt">
              <w:txbxContent>
                <w:p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w:r>
      <w:r>
        <w:rPr>
          <w:noProof/>
        </w:rPr>
        <w:pict>
          <v:shape id="_x0000_s1412" type="#_x0000_t202" style="position:absolute;left:0;text-align:left;margin-left:6.45pt;margin-top:318.35pt;width:163.65pt;height:43.05pt;z-index:24" fillcolor="#d8d8d8">
            <v:textbox style="mso-next-textbox:#_x0000_s1412" inset="5.85pt,.7pt,5.85pt,.7pt">
              <w:txbxContent>
                <w:p w:rsidR="00836A28" w:rsidRDefault="00836A28" w:rsidP="00836A28">
                  <w:pPr>
                    <w:spacing w:line="200" w:lineRule="exact"/>
                    <w:rPr>
                      <w:sz w:val="16"/>
                      <w:szCs w:val="16"/>
                    </w:rPr>
                  </w:pPr>
                  <w:r>
                    <w:rPr>
                      <w:rFonts w:hint="eastAsia"/>
                      <w:sz w:val="16"/>
                      <w:szCs w:val="16"/>
                    </w:rPr>
                    <w:t>所属とコレスポンディングオーサー：</w:t>
                  </w:r>
                </w:p>
                <w:p w:rsidR="00836A28" w:rsidRDefault="00836A28" w:rsidP="00836A28">
                  <w:pPr>
                    <w:spacing w:line="200" w:lineRule="exact"/>
                    <w:rPr>
                      <w:sz w:val="16"/>
                      <w:szCs w:val="16"/>
                    </w:rPr>
                  </w:pPr>
                  <w:r>
                    <w:rPr>
                      <w:rFonts w:hint="eastAsia"/>
                      <w:sz w:val="16"/>
                      <w:szCs w:val="16"/>
                    </w:rPr>
                    <w:t>所属の前に対応する執筆者の上付き番号</w:t>
                  </w:r>
                </w:p>
                <w:p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rsidR="00836A28" w:rsidRPr="00DE58BC" w:rsidRDefault="00836A28" w:rsidP="00836A28">
                  <w:pPr>
                    <w:spacing w:line="200" w:lineRule="exact"/>
                    <w:rPr>
                      <w:sz w:val="16"/>
                      <w:szCs w:val="16"/>
                    </w:rPr>
                  </w:pPr>
                </w:p>
              </w:txbxContent>
            </v:textbox>
          </v:shape>
        </w:pic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２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そのため，未達成なままの構造改善は，農業の衰退傾向に歯止めをかける有力な手段として認識され続けているものの，残された時間はそれほど多くないことを，今日の状況は物語って</w:t>
      </w:r>
      <w:r w:rsidR="005B3201" w:rsidRPr="00763268">
        <w:t>いる（註</w:t>
      </w:r>
      <w:r w:rsidR="00DE3D8F">
        <w:rPr>
          <w:rStyle w:val="af0"/>
        </w:rPr>
        <w:footnoteReference w:id="2"/>
      </w:r>
      <w:r w:rsidR="005B3201" w:rsidRPr="00763268">
        <w:t>）．</w:t>
      </w:r>
    </w:p>
    <w:p w:rsidR="00F3067C" w:rsidRPr="007A4EE1" w:rsidRDefault="004F5ECA" w:rsidP="00637574">
      <w:pPr>
        <w:ind w:firstLineChars="100" w:firstLine="192"/>
      </w:pPr>
      <w:r>
        <w:pict>
          <v:shape id="_x0000_s1207" type="#_x0000_t202" style="position:absolute;left:0;text-align:left;margin-left:70.85pt;margin-top:320.9pt;width:151.35pt;height:16.7pt;z-index:6" fillcolor="#d8d8d8">
            <v:textbox style="mso-next-textbox:#_x0000_s1207" inset="1mm,.7pt,1mm,.7pt">
              <w:txbxContent>
                <w:p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v:textbox>
          </v:shape>
        </w:pic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r w:rsidR="007F3D1F" w:rsidRPr="007F3D1F">
        <w:rPr>
          <w:rFonts w:hint="eastAsia"/>
        </w:rPr>
        <w:t>究は，農地貸借市場が完全争的な市場であることを暗黙に仮定していたために，「分析結果が示すほどに流動化は進まなかった」という意味で，現実妥当的な結果を得るには至らなかったと考えられる．</w:t>
      </w:r>
    </w:p>
    <w:p w:rsidR="00F27C7A" w:rsidRDefault="004F5ECA" w:rsidP="00F27C7A">
      <w:pPr>
        <w:rPr>
          <w:color w:val="000000"/>
          <w:szCs w:val="20"/>
        </w:rPr>
      </w:pPr>
      <w:r>
        <w:rPr>
          <w:noProof/>
        </w:rPr>
        <w:lastRenderedPageBreak/>
        <w:pict>
          <v:shape id="_x0000_s1474" type="#_x0000_t202" style="position:absolute;left:0;text-align:left;margin-left:23.45pt;margin-top:-34.95pt;width:436.7pt;height:32.15pt;z-index:32" fillcolor="#d8d8d8">
            <v:textbox style="mso-next-textbox:#_x0000_s1474;mso-fit-shape-to-text:t" inset="1mm,.7pt,1mm,.7pt">
              <w:txbxContent>
                <w:p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v:textbox>
          </v:shape>
        </w:pict>
      </w:r>
      <w:r>
        <w:rPr>
          <w:noProof/>
        </w:rPr>
        <w:pict>
          <v:shape id="_x0000_s1414" type="#_x0000_t202" style="position:absolute;left:0;text-align:left;margin-left:47.95pt;margin-top:223.7pt;width:119.1pt;height:12pt;z-index:26" fillcolor="#d8d8d8">
            <v:textbox style="mso-next-textbox:#_x0000_s1414" inset="1mm,.7pt,1mm,.7pt">
              <w:txbxContent>
                <w:p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w:r>
      <w:r>
        <w:rPr>
          <w:color w:val="000000"/>
          <w:szCs w:val="20"/>
        </w:rPr>
      </w:r>
      <w:r>
        <w:rPr>
          <w:color w:val="000000"/>
          <w:szCs w:val="20"/>
        </w:rPr>
        <w:pict>
          <v:group id="_x0000_s1307" style="width:212.85pt;height:212.1pt;mso-position-horizontal-relative:char;mso-position-vertical-relative:line" coordorigin="1136,1510" coordsize="4257,4242">
            <v:shape id="_x0000_s1308" type="#_x0000_t202" style="position:absolute;left:1141;top:5385;width:4252;height:367" filled="f" stroked="f">
              <v:textbox style="mso-next-textbox:#_x0000_s1308" inset="5.85pt,.7pt,5.85pt,.7pt">
                <w:txbxContent>
                  <w:p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_x0000_s1309" style="position:absolute;left:1136;top:1510;width:4252;height:3760" coordorigin="6140,1511" coordsize="4288,3760">
              <v:line id="_x0000_s1310" style="position:absolute;flip:y" from="6597,2187" to="6599,5192">
                <v:stroke endarrow="block"/>
                <o:lock v:ext="edit" aspectratio="t"/>
              </v:line>
              <v:line id="_x0000_s1311" style="position:absolute" from="6596,3761" to="10111,3762">
                <v:stroke endarrow="block"/>
                <o:lock v:ext="edit" aspectratio="t"/>
              </v:line>
              <v:line id="_x0000_s1312" style="position:absolute;flip:y" from="6597,2349" to="9705,4951">
                <o:lock v:ext="edit" aspectratio="t"/>
              </v:line>
              <v:line id="_x0000_s1313" style="position:absolute" from="8586,3290" to="8586,3781">
                <v:stroke dashstyle="dash"/>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4" type="#_x0000_t19" style="position:absolute;left:6576;top:2879;width:2069;height:834;rotation:-82384933fd;flip:x" coordsize="21523,21600" adj="-6340076,-1866039,2536" path="wr-19064,,24136,43200,,149,21523,11302nfewr-19064,,24136,43200,,149,21523,11302l2536,21600nsxe">
                <v:path o:connectlocs="0,149;21523,11302;2536,21600"/>
                <o:lock v:ext="edit" aspectratio="t"/>
                <v:textbox inset="5.85pt,.7pt,5.85pt,.7pt"/>
              </v:shape>
              <v:shape id="_x0000_s1315" type="#_x0000_t202" style="position:absolute;left:7238;top:3233;width:798;height:378" filled="f" stroked="f">
                <o:lock v:ext="edit" aspectratio="t"/>
                <v:textbox style="mso-next-textbox:#_x0000_s1315" inset="5.85pt,.7pt,5.85pt,.7pt">
                  <w:txbxContent>
                    <w:p w:rsidR="00F3067C" w:rsidRPr="00C37996" w:rsidRDefault="00C37996" w:rsidP="00F3067C">
                      <w:pPr>
                        <w:rPr>
                          <w:i/>
                        </w:rPr>
                      </w:pPr>
                      <m:oMathPara>
                        <m:oMath>
                          <m:r>
                            <w:rPr>
                              <w:rFonts w:ascii="Cambria Math" w:hAnsi="Cambria Math"/>
                            </w:rPr>
                            <m:t>F(R)</m:t>
                          </m:r>
                        </m:oMath>
                      </m:oMathPara>
                    </w:p>
                  </w:txbxContent>
                </v:textbox>
              </v:shape>
              <v:shape id="_x0000_s1316" type="#_x0000_t202" style="position:absolute;left:10019;top:3593;width:409;height:378" filled="f" stroked="f">
                <o:lock v:ext="edit" aspectratio="t"/>
                <v:textbox style="mso-next-textbox:#_x0000_s1316" inset="5.85pt,.7pt,5.85pt,.7pt">
                  <w:txbxContent>
                    <w:p w:rsidR="00F3067C" w:rsidRDefault="00D34580" w:rsidP="00F3067C">
                      <m:oMathPara>
                        <m:oMath>
                          <m:r>
                            <m:rPr>
                              <m:sty m:val="p"/>
                            </m:rPr>
                            <w:rPr>
                              <w:rFonts w:ascii="Cambria Math" w:hAnsi="Cambria Math"/>
                            </w:rPr>
                            <m:t>R</m:t>
                          </m:r>
                        </m:oMath>
                      </m:oMathPara>
                    </w:p>
                  </w:txbxContent>
                </v:textbox>
              </v:shape>
              <v:shape id="_x0000_s1317" type="#_x0000_t202" style="position:absolute;left:8382;top:3772;width:397;height:309" filled="f" stroked="f">
                <o:lock v:ext="edit" aspectratio="t"/>
                <v:textbox style="mso-next-textbox:#_x0000_s1317" inset="5.85pt,.7pt,5.85pt,.7pt">
                  <w:txbxContent>
                    <w:p w:rsidR="00C37996" w:rsidRPr="00C37996" w:rsidRDefault="004F5ECA" w:rsidP="00F3067C">
                      <w:pPr>
                        <w:rPr>
                          <w:rFonts w:asciiTheme="minorHAnsi" w:eastAsiaTheme="minorEastAsia" w:hAnsiTheme="minorHAnsi" w:cstheme="minorBid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r>
                            <m:rPr>
                              <m:sty m:val="p"/>
                            </m:rPr>
                            <w:rPr>
                              <w:rFonts w:ascii="Cambria Math" w:hAnsi="Cambria Math"/>
                            </w:rPr>
                            <m:t xml:space="preserve">* </m:t>
                          </m:r>
                        </m:oMath>
                      </m:oMathPara>
                    </w:p>
                    <w:p w:rsidR="00F3067C" w:rsidRDefault="004F5ECA" w:rsidP="00F3067C">
                      <m:oMathPara>
                        <m:oMath>
                          <m:d>
                            <m:dPr>
                              <m:ctrlPr>
                                <w:rPr>
                                  <w:rFonts w:ascii="Cambria Math" w:hAnsi="Cambria Math"/>
                                </w:rPr>
                              </m:ctrlPr>
                            </m:dPr>
                            <m:e>
                              <m:r>
                                <m:rPr>
                                  <m:sty m:val="p"/>
                                </m:rPr>
                                <w:rPr>
                                  <w:rFonts w:ascii="Cambria Math" w:hAnsi="Cambria Math"/>
                                </w:rPr>
                                <m:t>R</m:t>
                              </m:r>
                            </m:e>
                          </m:d>
                          <m:r>
                            <m:rPr>
                              <m:sty m:val="p"/>
                            </m:rPr>
                            <w:rPr>
                              <w:rFonts w:ascii="Cambria Math" w:hAnsi="Cambria Math"/>
                            </w:rPr>
                            <m:t>-T</m:t>
                          </m:r>
                        </m:oMath>
                      </m:oMathPara>
                    </w:p>
                  </w:txbxContent>
                </v:textbox>
              </v:shape>
              <v:shape id="_x0000_s1318" type="#_x0000_t202" style="position:absolute;left:7834;top:3743;width:520;height:379" filled="f" stroked="f">
                <o:lock v:ext="edit" aspectratio="t"/>
                <v:textbox style="mso-next-textbox:#_x0000_s1318" inset="5.85pt,.7pt,5.85pt,.7pt">
                  <w:txbxContent>
                    <w:p w:rsidR="00F3067C" w:rsidRPr="00C37996" w:rsidRDefault="004F5ECA" w:rsidP="00F3067C">
                      <w:pPr>
                        <w:rPr>
                          <w: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oMath>
                      </m:oMathPara>
                    </w:p>
                  </w:txbxContent>
                </v:textbox>
              </v:shape>
              <v:shape id="_x0000_s1319" type="#_x0000_t202" style="position:absolute;left:6140;top:4809;width:967;height:462" filled="f" stroked="f">
                <o:lock v:ext="edit" aspectratio="t"/>
                <v:textbox style="mso-next-textbox:#_x0000_s1319" inset="5.85pt,.7pt,5.85pt,.7pt">
                  <w:txbxContent>
                    <w:p w:rsidR="00F3067C" w:rsidRPr="00D34580" w:rsidRDefault="00D34580" w:rsidP="00F3067C">
                      <w:pPr>
                        <w:rPr>
                          <w:rFonts w:eastAsia="ＭＳ ゴシック"/>
                          <w:szCs w:val="21"/>
                        </w:rPr>
                      </w:pPr>
                      <m:oMathPara>
                        <m:oMathParaPr>
                          <m:jc m:val="left"/>
                        </m:oMathParaPr>
                        <m:oMath>
                          <m:r>
                            <m:rPr>
                              <m:sty m:val="p"/>
                            </m:rPr>
                            <w:rPr>
                              <w:rFonts w:ascii="Cambria Math" w:hAnsi="Cambria Math"/>
                            </w:rPr>
                            <m:t>-T</m:t>
                          </m:r>
                        </m:oMath>
                      </m:oMathPara>
                    </w:p>
                  </w:txbxContent>
                </v:textbox>
              </v:shape>
              <v:shape id="_x0000_s1320" type="#_x0000_t202" style="position:absolute;left:7177;top:4295;width:1800;height:656" filled="f" stroked="f">
                <o:lock v:ext="edit" aspectratio="t"/>
                <v:textbox style="mso-next-textbox:#_x0000_s1320" inset="5.85pt,.7pt,5.85pt,.7pt">
                  <w:txbxContent>
                    <w:p w:rsidR="00F3067C" w:rsidRPr="00C37996" w:rsidRDefault="00C37996" w:rsidP="00F3067C">
                      <w:pPr>
                        <w:rPr>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f>
                            <m:fPr>
                              <m:ctrlPr>
                                <w:rPr>
                                  <w:rFonts w:ascii="Cambria Math" w:hAnsi="Cambria Math"/>
                                  <w:i/>
                                </w:rPr>
                              </m:ctrlPr>
                            </m:fPr>
                            <m:num>
                              <m:r>
                                <w:rPr>
                                  <w:rFonts w:ascii="Cambria Math" w:hAnsi="Cambria Math"/>
                                </w:rPr>
                                <m:t>R</m:t>
                              </m:r>
                            </m:num>
                            <m:den>
                              <m:r>
                                <w:rPr>
                                  <w:rFonts w:ascii="Cambria Math" w:hAnsi="Cambria Math"/>
                                </w:rPr>
                                <m:t>ρ</m:t>
                              </m:r>
                            </m:den>
                          </m:f>
                          <m:r>
                            <w:rPr>
                              <w:rFonts w:ascii="Cambria Math" w:hAnsi="Cambria Math"/>
                            </w:rPr>
                            <m:t>-T</m:t>
                          </m:r>
                        </m:oMath>
                      </m:oMathPara>
                    </w:p>
                  </w:txbxContent>
                </v:textbox>
              </v:shape>
              <v:shape id="_x0000_s1321" type="#_x0000_t202" style="position:absolute;left:6168;top:1511;width:1036;height:676;mso-wrap-style:none" stroked="f">
                <v:fill opacity="0"/>
                <o:lock v:ext="edit" aspectratio="t"/>
                <v:textbox style="mso-next-textbox:#_x0000_s1321" inset="5.85pt,.7pt,5.85pt,.7pt">
                  <w:txbxContent>
                    <w:p w:rsidR="00F3067C" w:rsidRPr="00C37996" w:rsidRDefault="00C37996" w:rsidP="00F3067C">
                      <w:pPr>
                        <w:rPr>
                          <w:rFonts w:asciiTheme="minorHAnsi" w:eastAsiaTheme="minorEastAsia" w:hAnsiTheme="minorHAnsi" w:cstheme="minorBidi"/>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oMath>
                      </m:oMathPara>
                    </w:p>
                    <w:p w:rsidR="00C37996" w:rsidRPr="00C37996" w:rsidRDefault="004F5ECA" w:rsidP="00F3067C">
                      <w:pPr>
                        <w:rPr>
                          <w:rFonts w:asciiTheme="minorHAnsi" w:eastAsiaTheme="minorEastAsia" w:hAnsiTheme="minorHAnsi" w:cstheme="minorBidi"/>
                        </w:rPr>
                      </w:pPr>
                      <w:sdt>
                        <w:sdtPr>
                          <w:rPr>
                            <w:rFonts w:ascii="Cambria Math" w:eastAsiaTheme="minorEastAsia" w:hAnsi="Cambria Math" w:cstheme="minorBidi" w:hint="eastAsia"/>
                            <w:i/>
                          </w:rPr>
                          <w:id w:val="-461972128"/>
                          <w:placeholder>
                            <w:docPart w:val="DefaultPlaceholder_1075249612"/>
                          </w:placeholder>
                          <w:temporary/>
                          <w:equation/>
                        </w:sdtPr>
                        <w:sdtEndPr>
                          <w:rPr>
                            <w:i w:val="0"/>
                          </w:rPr>
                        </w:sdtEndPr>
                        <w:sdtContent>
                          <m:oMathPara>
                            <m:oMathParaPr>
                              <m:jc m:val="left"/>
                            </m:oMathParaPr>
                            <m:oMath>
                              <m:r>
                                <m:rPr>
                                  <m:sty m:val="p"/>
                                </m:rPr>
                                <w:rPr>
                                  <w:rFonts w:ascii="Cambria Math" w:eastAsiaTheme="minorEastAsia" w:hAnsi="Cambria Math" w:cstheme="minorBidi"/>
                                </w:rPr>
                                <m:t>F(R)</m:t>
                              </m:r>
                            </m:oMath>
                          </m:oMathPara>
                        </w:sdtContent>
                      </w:sdt>
                    </w:p>
                    <w:p w:rsidR="00C37996" w:rsidRPr="00C37996" w:rsidRDefault="00C37996" w:rsidP="00F3067C">
                      <w:pPr>
                        <w:rPr>
                          <w:rFonts w:asciiTheme="minorHAnsi" w:eastAsiaTheme="minorEastAsia" w:hAnsiTheme="minorHAnsi" w:cstheme="minorBidi"/>
                        </w:rPr>
                      </w:pPr>
                      <w:r>
                        <w:rPr>
                          <w:rFonts w:asciiTheme="minorHAnsi" w:eastAsiaTheme="minorEastAsia" w:hAnsiTheme="minorHAnsi" w:cstheme="minorBidi" w:hint="eastAsia"/>
                        </w:rPr>
                        <w:t>F(</w:t>
                      </w:r>
                      <w:r>
                        <w:rPr>
                          <w:rFonts w:asciiTheme="minorHAnsi" w:eastAsiaTheme="minorEastAsia" w:hAnsiTheme="minorHAnsi" w:cstheme="minorBidi"/>
                        </w:rPr>
                        <w:t>R</w:t>
                      </w:r>
                      <w:r>
                        <w:rPr>
                          <w:rFonts w:asciiTheme="minorHAnsi" w:eastAsiaTheme="minorEastAsia" w:hAnsiTheme="minorHAnsi" w:cstheme="minorBidi" w:hint="eastAsia"/>
                        </w:rPr>
                        <w:t>)</w:t>
                      </w:r>
                    </w:p>
                  </w:txbxContent>
                </v:textbox>
              </v:shape>
              <v:shape id="_x0000_s1322" type="#_x0000_t202" style="position:absolute;left:6307;top:3623;width:306;height:379" stroked="f">
                <v:fill opacity="0"/>
                <o:lock v:ext="edit" aspectratio="t"/>
                <v:textbox style="mso-next-textbox:#_x0000_s1322" inset="5.85pt,.7pt,5.85pt,.7pt">
                  <w:txbxContent>
                    <w:p w:rsidR="00F3067C" w:rsidRDefault="00F3067C" w:rsidP="00F3067C">
                      <w:r>
                        <w:rPr>
                          <w:rFonts w:hint="eastAsia"/>
                        </w:rPr>
                        <w:t>0</w:t>
                      </w:r>
                    </w:p>
                  </w:txbxContent>
                </v:textbox>
              </v:shape>
            </v:group>
            <w10:wrap type="none"/>
            <w10:anchorlock/>
          </v:group>
        </w:pict>
      </w:r>
    </w:p>
    <w:p w:rsidR="00D14D51" w:rsidRDefault="00D14D51" w:rsidP="00D14D51"/>
    <w:p w:rsidR="00D45BCA" w:rsidRDefault="00D45BCA" w:rsidP="007F3D1F">
      <w:pPr>
        <w:ind w:firstLineChars="100" w:firstLine="192"/>
      </w:pPr>
      <w:r>
        <w:rPr>
          <w:rFonts w:hint="eastAsia"/>
        </w:rPr>
        <w:t>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rsidR="00993493" w:rsidRDefault="00993493" w:rsidP="00D14D51"/>
    <w:p w:rsidR="00F27C7A" w:rsidRPr="00D402DD" w:rsidRDefault="008500DE" w:rsidP="002F2A3D">
      <w:pPr>
        <w:pStyle w:val="af1"/>
      </w:pPr>
      <w:r w:rsidRPr="00D402DD">
        <w:rPr>
          <w:rFonts w:hint="eastAsia"/>
        </w:rPr>
        <w:t>２．</w:t>
      </w:r>
      <w:r w:rsidR="00F27C7A" w:rsidRPr="00D402DD">
        <w:t>分析の枠組み</w:t>
      </w:r>
    </w:p>
    <w:p w:rsidR="00711EA4" w:rsidRPr="00AE3018" w:rsidRDefault="00711EA4" w:rsidP="00F44CBC">
      <w:pPr>
        <w:pStyle w:val="1"/>
        <w:ind w:firstLine="192"/>
      </w:pPr>
      <w:r>
        <w:rPr>
          <w:rFonts w:hint="eastAsia"/>
        </w:rPr>
        <w:t>1</w:t>
      </w:r>
      <w:r w:rsidRPr="00AE3018">
        <w:rPr>
          <w:rFonts w:hint="eastAsia"/>
        </w:rPr>
        <w:t>）借地行動とリアル・オプション理論</w:t>
      </w:r>
    </w:p>
    <w:p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rsidR="00FB2274" w:rsidRDefault="00A30F46" w:rsidP="00FB2274">
      <w:pPr>
        <w:spacing w:line="300" w:lineRule="exact"/>
        <w:ind w:firstLineChars="100" w:firstLine="192"/>
        <w:jc w:val="left"/>
      </w:pPr>
      <w:r w:rsidRPr="00A30F46">
        <w:rPr>
          <w:rFonts w:hint="eastAsia"/>
          <w:szCs w:val="21"/>
        </w:rPr>
        <w:t>ここでオプション価値</w:t>
      </w:r>
      <m:oMath>
        <m:r>
          <w:rPr>
            <w:rFonts w:ascii="Cambria Math" w:hAnsi="Cambria Math"/>
          </w:rPr>
          <m:t>F(R)</m:t>
        </m:r>
      </m:oMath>
      <w:r w:rsidRPr="00A30F46">
        <w:rPr>
          <w:rFonts w:hint="eastAsia"/>
        </w:rPr>
        <w:t>を特定して，取引費用や収益の不確実性が</w:t>
      </w:r>
      <m:oMath>
        <m:r>
          <w:rPr>
            <w:rFonts w:ascii="Cambria Math" w:hAnsi="Cambria Math"/>
          </w:rPr>
          <m:t>F(R)</m:t>
        </m:r>
      </m:oMath>
      <w:r w:rsidRPr="00A51FBE">
        <w:t>に与える影響を考察する．はじめに，利潤</w:t>
      </w:r>
      <m:oMath>
        <m:r>
          <w:rPr>
            <w:rFonts w:ascii="Cambria Math" w:hAnsi="Cambria Math"/>
          </w:rPr>
          <m:t>R</m:t>
        </m:r>
      </m:oMath>
      <w:r w:rsidRPr="00A51FBE">
        <w:t>にドリフト付き幾何ブラウン運動を仮定して，</w:t>
      </w:r>
      <w:r w:rsidRPr="00A51FBE">
        <w:t>(1)</w:t>
      </w:r>
      <w:r w:rsidRPr="00A51FBE">
        <w:t>式で収益の不確実性を表現する．</w:t>
      </w:r>
    </w:p>
    <w:p w:rsidR="00A30F46" w:rsidRPr="00FB2274" w:rsidRDefault="00FB2274" w:rsidP="00FB2274">
      <w:pPr>
        <w:wordWrap w:val="0"/>
        <w:spacing w:line="300" w:lineRule="exact"/>
        <w:ind w:firstLineChars="100" w:firstLine="192"/>
        <w:jc w:val="right"/>
      </w:pPr>
      <m:oMath>
        <m:r>
          <w:rPr>
            <w:rFonts w:ascii="Cambria Math" w:hAnsi="Cambria Math"/>
          </w:rPr>
          <m:t xml:space="preserve"> dR=μRdt+σRdz</m:t>
        </m:r>
      </m:oMath>
      <w:r>
        <w:rPr>
          <w:rFonts w:hint="eastAsia"/>
        </w:rPr>
        <w:t xml:space="preserve"> </w:t>
      </w:r>
      <w:r>
        <w:t xml:space="preserve">            </w:t>
      </w:r>
      <w:r>
        <w:rPr>
          <w:szCs w:val="21"/>
        </w:rPr>
        <w:t>(1)</w:t>
      </w:r>
      <w:r>
        <w:rPr>
          <w:rFonts w:hint="eastAsia"/>
        </w:rPr>
        <w:t xml:space="preserve"> </w:t>
      </w:r>
    </w:p>
    <w:p w:rsidR="00DB2536" w:rsidRDefault="00DB2536" w:rsidP="003A0088">
      <w:pPr>
        <w:spacing w:line="300" w:lineRule="exact"/>
      </w:pPr>
      <w:r>
        <w:t>ただし，</w:t>
      </w:r>
      <m:oMath>
        <m:r>
          <w:rPr>
            <w:rFonts w:ascii="Cambria Math" w:hAnsi="Cambria Math"/>
          </w:rPr>
          <m:t>μ</m:t>
        </m:r>
      </m:oMath>
      <w:r>
        <w:rPr>
          <w:rFonts w:hint="eastAsia"/>
        </w:rPr>
        <w:t>はドリフトの傾向，</w:t>
      </w:r>
      <m:oMath>
        <m:r>
          <w:rPr>
            <w:rFonts w:ascii="Cambria Math" w:hAnsi="Cambria Math"/>
          </w:rPr>
          <m:t xml:space="preserve"> σ</m:t>
        </m:r>
      </m:oMath>
      <w:r>
        <w:rPr>
          <w:rFonts w:hint="eastAsia"/>
        </w:rPr>
        <w:t>は標準偏差の大きさであり，</w:t>
      </w:r>
      <m:oMath>
        <m:r>
          <w:rPr>
            <w:rFonts w:ascii="Cambria Math" w:hAnsi="Cambria Math"/>
          </w:rPr>
          <m:t xml:space="preserve"> z</m:t>
        </m:r>
      </m:oMath>
      <w:r>
        <w:rPr>
          <w:rFonts w:hint="eastAsia"/>
        </w:rPr>
        <w:t>は標準ブラウン運動を表す．</w:t>
      </w:r>
    </w:p>
    <w:p w:rsidR="00AC3D24" w:rsidRPr="003A0088" w:rsidRDefault="004F5ECA" w:rsidP="003A0088">
      <w:pPr>
        <w:pStyle w:val="af3"/>
        <w:ind w:firstLineChars="0" w:firstLine="0"/>
      </w:pPr>
      <w:r>
        <w:rPr>
          <w:sz w:val="18"/>
        </w:rPr>
        <w:pict>
          <v:shape id="_x0000_s1415" type="#_x0000_t202" style="position:absolute;margin-left:-35.5pt;margin-top:5.4pt;width:49.9pt;height:12pt;z-index:27" fillcolor="#d8d8d8">
            <v:textbox style="mso-next-textbox:#_x0000_s1415" inset="1mm,.7pt,1mm,.7pt">
              <w:txbxContent>
                <w:p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w:r>
    </w:p>
    <w:p w:rsidR="003A0088" w:rsidRPr="00D402DD" w:rsidRDefault="003A0088" w:rsidP="00D402DD">
      <w:pPr>
        <w:pStyle w:val="af1"/>
      </w:pPr>
      <w:r w:rsidRPr="00D402DD">
        <w:rPr>
          <w:rFonts w:hint="eastAsia"/>
        </w:rPr>
        <w:t>３</w:t>
      </w:r>
      <w:r w:rsidRPr="00D402DD">
        <w:t>．結　　論</w:t>
      </w:r>
    </w:p>
    <w:p w:rsidR="00F3067C" w:rsidRPr="00CC77F1" w:rsidRDefault="003A0088" w:rsidP="003A0088">
      <w:pPr>
        <w:ind w:firstLineChars="100" w:firstLine="192"/>
        <w:rPr>
          <w:color w:val="000000"/>
          <w:szCs w:val="20"/>
        </w:rPr>
      </w:pPr>
      <w:r w:rsidRPr="008E50E5">
        <w:rPr>
          <w:rFonts w:hint="eastAsia"/>
        </w:rPr>
        <w:t>推計結果を２期間について比較した結果，取引費用が大きくオプション価値係数が小さい前半期間の関係が，後半期間では逆転していたことが明らかとなった．計測期間の前半では取引費用が，計測期間の後半では</w:t>
      </w:r>
    </w:p>
    <w:p w:rsidR="00362033" w:rsidRDefault="00362033" w:rsidP="00362033">
      <w:pPr>
        <w:spacing w:line="340" w:lineRule="exact"/>
        <w:rPr>
          <w:color w:val="000000"/>
          <w:szCs w:val="20"/>
        </w:rPr>
      </w:pPr>
    </w:p>
    <w:p w:rsidR="00D45BCA" w:rsidRDefault="00D45BCA" w:rsidP="00362033">
      <w:pPr>
        <w:spacing w:line="340" w:lineRule="exact"/>
        <w:rPr>
          <w:color w:val="000000"/>
          <w:szCs w:val="20"/>
        </w:rPr>
      </w:pPr>
    </w:p>
    <w:p w:rsidR="00D45BCA" w:rsidRDefault="00D45BCA" w:rsidP="00362033">
      <w:pPr>
        <w:spacing w:line="340" w:lineRule="exact"/>
        <w:rPr>
          <w:color w:val="000000"/>
          <w:szCs w:val="20"/>
        </w:rPr>
      </w:pPr>
    </w:p>
    <w:p w:rsidR="003A0088" w:rsidRPr="00A51FBE" w:rsidRDefault="003A0088"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Default="004F5ECA" w:rsidP="00BD2546">
      <w:pPr>
        <w:spacing w:line="340" w:lineRule="exact"/>
        <w:ind w:firstLineChars="100" w:firstLine="192"/>
        <w:rPr>
          <w:rFonts w:ascii="ＭＳ 明朝"/>
          <w:color w:val="000000"/>
        </w:rPr>
      </w:pPr>
      <w:r>
        <w:rPr>
          <w:rFonts w:ascii="ＭＳ 明朝"/>
          <w:color w:val="000000"/>
        </w:rPr>
      </w:r>
      <w:r>
        <w:rPr>
          <w:rFonts w:ascii="ＭＳ 明朝"/>
          <w:color w:val="000000"/>
        </w:rPr>
        <w:pict>
          <v:shape id="_x0000_s1479" type="#_x0000_t202" style="width:206.95pt;height:190.9pt;mso-left-percent:-10001;mso-top-percent:-10001;mso-position-horizontal:absolute;mso-position-horizontal-relative:char;mso-position-vertical:absolute;mso-position-vertical-relative:line;mso-left-percent:-10001;mso-top-percent:-10001" filled="f" stroked="f">
            <v:textbox style="mso-next-textbox:#_x0000_s1479;mso-fit-shape-to-text:t" inset="5.85pt,.7pt,5.85pt,.7pt">
              <w:txbxContent>
                <w:p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rsidTr="00BD2546">
                    <w:trPr>
                      <w:trHeight w:val="227"/>
                    </w:trPr>
                    <w:tc>
                      <w:tcPr>
                        <w:tcW w:w="349" w:type="dxa"/>
                        <w:tcBorders>
                          <w:top w:val="single" w:sz="12" w:space="0" w:color="auto"/>
                          <w:left w:val="nil"/>
                          <w:bottom w:val="nil"/>
                          <w:right w:val="nil"/>
                        </w:tcBorders>
                        <w:vAlign w:val="center"/>
                      </w:tcPr>
                      <w:p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rsidTr="00BD2546">
                    <w:trPr>
                      <w:trHeight w:val="227"/>
                    </w:trPr>
                    <w:tc>
                      <w:tcPr>
                        <w:tcW w:w="349" w:type="dxa"/>
                        <w:tcBorders>
                          <w:top w:val="nil"/>
                          <w:left w:val="nil"/>
                          <w:bottom w:val="single" w:sz="4" w:space="0" w:color="auto"/>
                          <w:right w:val="nil"/>
                        </w:tcBorders>
                        <w:vAlign w:val="center"/>
                      </w:tcPr>
                      <w:p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rsidTr="00BD2546">
                    <w:trPr>
                      <w:trHeight w:val="227"/>
                    </w:trPr>
                    <w:tc>
                      <w:tcPr>
                        <w:tcW w:w="349" w:type="dxa"/>
                        <w:tcBorders>
                          <w:left w:val="nil"/>
                          <w:bottom w:val="nil"/>
                          <w:right w:val="nil"/>
                        </w:tcBorders>
                        <w:vAlign w:val="center"/>
                      </w:tcPr>
                      <w:p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T</m:t>
                            </m:r>
                          </m:oMath>
                        </m:oMathPara>
                      </w:p>
                    </w:tc>
                    <w:tc>
                      <w:tcPr>
                        <w:tcW w:w="701"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α</m:t>
                            </m:r>
                          </m:oMath>
                        </m:oMathPara>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λ</m:t>
                            </m:r>
                          </m:oMath>
                        </m:oMathPara>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4F5ECA" w:rsidP="00C37996">
                        <w:pPr>
                          <w:spacing w:line="280" w:lineRule="exact"/>
                          <w:ind w:leftChars="-50" w:left="-96" w:rightChars="-50" w:right="-96"/>
                          <w:jc w:val="center"/>
                          <w:rPr>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u</m:t>
                                </m:r>
                              </m:sub>
                            </m:sSub>
                          </m:oMath>
                        </m:oMathPara>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rsidTr="00BD2546">
                    <w:trPr>
                      <w:trHeight w:val="227"/>
                    </w:trPr>
                    <w:tc>
                      <w:tcPr>
                        <w:tcW w:w="349" w:type="dxa"/>
                        <w:tcBorders>
                          <w:top w:val="nil"/>
                          <w:left w:val="nil"/>
                          <w:right w:val="nil"/>
                        </w:tcBorders>
                        <w:vAlign w:val="center"/>
                      </w:tcPr>
                      <w:p w:rsidR="00362033" w:rsidRPr="00BD2546" w:rsidRDefault="004F5ECA" w:rsidP="00C37996">
                        <w:pPr>
                          <w:spacing w:line="280" w:lineRule="exact"/>
                          <w:ind w:leftChars="-50" w:left="-96" w:rightChars="-50" w:right="-96"/>
                          <w:jc w:val="center"/>
                          <w:rPr>
                            <w:b/>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v</m:t>
                                </m:r>
                              </m:sub>
                            </m:sSub>
                          </m:oMath>
                        </m:oMathPara>
                      </w:p>
                    </w:tc>
                    <w:tc>
                      <w:tcPr>
                        <w:tcW w:w="701"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rsidTr="00BD2546">
                    <w:trPr>
                      <w:trHeight w:val="227"/>
                    </w:trPr>
                    <w:tc>
                      <w:tcPr>
                        <w:tcW w:w="349" w:type="dxa"/>
                        <w:tcBorders>
                          <w:left w:val="nil"/>
                          <w:bottom w:val="single" w:sz="12" w:space="0" w:color="auto"/>
                          <w:right w:val="nil"/>
                        </w:tcBorders>
                        <w:vAlign w:val="center"/>
                      </w:tcPr>
                      <w:p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rsidR="00362033" w:rsidRPr="00FB2274" w:rsidRDefault="00362033" w:rsidP="00FB2274">
                  <w:pPr>
                    <w:tabs>
                      <w:tab w:val="left" w:pos="350"/>
                    </w:tabs>
                    <w:spacing w:line="240" w:lineRule="exact"/>
                    <w:ind w:leftChars="200" w:left="556" w:hangingChars="100" w:hanging="172"/>
                  </w:pPr>
                  <w:r w:rsidRPr="00A51FBE">
                    <w:rPr>
                      <w:sz w:val="18"/>
                      <w:szCs w:val="18"/>
                    </w:rPr>
                    <w:t xml:space="preserve">2) </w:t>
                  </w:r>
                  <w:r w:rsidRPr="00A51FBE">
                    <w:rPr>
                      <w:sz w:val="18"/>
                      <w:szCs w:val="18"/>
                    </w:rPr>
                    <w:t>カッコ内の統計量は，</w:t>
                  </w:r>
                  <m:oMath>
                    <m:r>
                      <w:rPr>
                        <w:rFonts w:ascii="Cambria Math" w:hAnsi="Cambria Math"/>
                      </w:rPr>
                      <m:t>T</m:t>
                    </m:r>
                  </m:oMath>
                  <w:r w:rsidRPr="00FB2274">
                    <w:rPr>
                      <w:rFonts w:asciiTheme="minorEastAsia" w:eastAsiaTheme="minorEastAsia" w:hAnsiTheme="minorEastAsia"/>
                      <w:sz w:val="18"/>
                      <w:szCs w:val="18"/>
                    </w:rPr>
                    <w:t>,</w:t>
                  </w:r>
                  <m:oMath>
                    <m:r>
                      <w:rPr>
                        <w:rFonts w:ascii="Cambria Math" w:hAnsi="Cambria Math"/>
                      </w:rPr>
                      <m:t xml:space="preserve"> α</m:t>
                    </m:r>
                  </m:oMath>
                  <w:r w:rsidRPr="00FB2274">
                    <w:rPr>
                      <w:rFonts w:asciiTheme="minorEastAsia" w:eastAsiaTheme="minorEastAsia" w:hAnsiTheme="minorEastAsia"/>
                      <w:sz w:val="18"/>
                      <w:szCs w:val="18"/>
                    </w:rPr>
                    <w:t>,</w:t>
                  </w:r>
                  <m:oMath>
                    <m:r>
                      <w:rPr>
                        <w:rFonts w:ascii="Cambria Math" w:eastAsiaTheme="minorEastAsia" w:hAnsi="Cambria Math"/>
                      </w:rPr>
                      <m:t xml:space="preserve"> λ</m:t>
                    </m:r>
                  </m:oMath>
                  <w:r w:rsidRPr="00A51FBE">
                    <w:rPr>
                      <w:sz w:val="18"/>
                      <w:szCs w:val="18"/>
                    </w:rPr>
                    <w:t>については</w:t>
                  </w:r>
                  <m:oMath>
                    <m:r>
                      <w:rPr>
                        <w:rFonts w:ascii="Cambria Math" w:hAnsi="Cambria Math"/>
                      </w:rPr>
                      <m:t>t</m:t>
                    </m:r>
                  </m:oMath>
                  <w:r w:rsidRPr="00A51FBE">
                    <w:rPr>
                      <w:sz w:val="18"/>
                      <w:szCs w:val="18"/>
                    </w:rPr>
                    <w:t>値を，</w:t>
                  </w:r>
                  <m:oMath>
                    <m:sSub>
                      <m:sSubPr>
                        <m:ctrlPr>
                          <w:rPr>
                            <w:rFonts w:ascii="Cambria Math" w:hAnsi="Cambria Math"/>
                            <w:i/>
                          </w:rPr>
                        </m:ctrlPr>
                      </m:sSubPr>
                      <m:e>
                        <m:r>
                          <w:rPr>
                            <w:rFonts w:ascii="Cambria Math" w:hAnsi="Cambria Math"/>
                          </w:rPr>
                          <m:t>σ</m:t>
                        </m:r>
                      </m:e>
                      <m:sub>
                        <m:r>
                          <w:rPr>
                            <w:rFonts w:ascii="Cambria Math" w:hAnsi="Cambria Math"/>
                          </w:rPr>
                          <m:t>u</m:t>
                        </m:r>
                      </m:sub>
                    </m:sSub>
                  </m:oMath>
                  <w:r w:rsidRPr="00C37996">
                    <w:rPr>
                      <w:sz w:val="18"/>
                      <w:szCs w:val="18"/>
                    </w:rPr>
                    <w:t>，</w:t>
                  </w:r>
                  <m:oMath>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v</m:t>
                        </m:r>
                      </m:sub>
                    </m:sSub>
                  </m:oMath>
                  <w:r w:rsidRPr="00A51FBE">
                    <w:rPr>
                      <w:sz w:val="18"/>
                      <w:szCs w:val="18"/>
                    </w:rPr>
                    <w:t>については漸近的標準誤差を，それぞれ表す．</w:t>
                  </w:r>
                </w:p>
              </w:txbxContent>
            </v:textbox>
            <w10:wrap type="none"/>
            <w10:anchorlock/>
          </v:shape>
        </w:pict>
      </w:r>
    </w:p>
    <w:p w:rsidR="00AA7E5D" w:rsidRDefault="00AA7E5D" w:rsidP="00DB2536">
      <w:pPr>
        <w:pStyle w:val="af3"/>
        <w:ind w:firstLineChars="0" w:firstLine="0"/>
      </w:pPr>
    </w:p>
    <w:p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rsidR="00D45BCA" w:rsidRDefault="00D45BCA" w:rsidP="00DB2536">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p>
    <w:p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rsidR="00293FA4" w:rsidRPr="00DA6BDE" w:rsidRDefault="004F5ECA" w:rsidP="00D14D51">
      <w:r>
        <w:pict>
          <v:shape id="_x0000_s1216" type="#_x0000_t202" style="position:absolute;left:0;text-align:left;margin-left:91.4pt;margin-top:1.35pt;width:158.75pt;height:12pt;z-index:7" fillcolor="#d8d8d8">
            <v:textbox style="mso-next-textbox:#_x0000_s1216" inset="1mm,.15mm,1mm,.15mm">
              <w:txbxContent>
                <w:p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v:textbox>
          </v:shape>
        </w:pict>
      </w:r>
      <w:r>
        <w:rPr>
          <w:noProof/>
        </w:rPr>
        <w:pict>
          <v:shape id="_x0000_s1416" type="#_x0000_t202" style="position:absolute;left:0;text-align:left;margin-left:-.8pt;margin-top:1.35pt;width:49.9pt;height:12pt;z-index:28" fillcolor="#d8d8d8">
            <v:textbox style="mso-next-textbox:#_x0000_s1416"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FB63F2" w:rsidRDefault="004F5ECA" w:rsidP="00C77D40">
      <w:pPr>
        <w:ind w:left="688" w:hangingChars="400" w:hanging="688"/>
        <w:rPr>
          <w:sz w:val="18"/>
        </w:rPr>
      </w:pPr>
      <w:r>
        <w:rPr>
          <w:noProof/>
          <w:sz w:val="18"/>
          <w:szCs w:val="18"/>
        </w:rPr>
        <w:pict>
          <v:shape id="_x0000_s1217" type="#_x0000_t202" style="position:absolute;left:0;text-align:left;margin-left:175.45pt;margin-top:14.05pt;width:74.65pt;height:30.8pt;z-index:8" fillcolor="#d8d8d8">
            <v:textbox style="mso-next-textbox:#_x0000_s1217" inset="1mm,.7pt,1mm,.7pt">
              <w:txbxContent>
                <w:p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rsidR="00195CF2" w:rsidRDefault="005F56F9" w:rsidP="00C77D40">
                  <w:pPr>
                    <w:spacing w:line="180" w:lineRule="exact"/>
                    <w:rPr>
                      <w:sz w:val="16"/>
                      <w:szCs w:val="16"/>
                    </w:rPr>
                  </w:pPr>
                  <w:r w:rsidRPr="00195CF2">
                    <w:rPr>
                      <w:sz w:val="16"/>
                      <w:szCs w:val="16"/>
                    </w:rPr>
                    <w:t>中央</w:t>
                  </w:r>
                  <w:r w:rsidR="00195CF2">
                    <w:rPr>
                      <w:sz w:val="16"/>
                      <w:szCs w:val="16"/>
                    </w:rPr>
                    <w:t>揃え</w:t>
                  </w:r>
                </w:p>
                <w:p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v:textbox>
          </v:shape>
        </w:pic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rsidR="00BA4FE8" w:rsidRPr="00031AB7" w:rsidRDefault="004F5ECA" w:rsidP="00FB63F2">
      <w:r>
        <w:rPr>
          <w:noProof/>
        </w:rPr>
        <w:pict>
          <v:shape id="_x0000_s1417" type="#_x0000_t202" style="position:absolute;left:0;text-align:left;margin-left:-.8pt;margin-top:2.4pt;width:49.9pt;height:12pt;z-index:29" fillcolor="#d8d8d8">
            <v:textbox style="mso-next-textbox:#_x0000_s1417"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68162F">
        <w:rPr>
          <w:sz w:val="18"/>
          <w:szCs w:val="18"/>
        </w:rPr>
        <w:t>新聞社</w:t>
      </w:r>
      <w:r w:rsidR="0068162F">
        <w:rPr>
          <w:rFonts w:hint="eastAsia"/>
          <w:sz w:val="18"/>
          <w:szCs w:val="18"/>
        </w:rPr>
        <w:t>：</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rsidR="00977997" w:rsidRPr="00875821" w:rsidRDefault="004F5ECA" w:rsidP="00875821">
      <w:pPr>
        <w:ind w:left="172" w:hangingChars="100" w:hanging="172"/>
        <w:rPr>
          <w:sz w:val="18"/>
          <w:szCs w:val="18"/>
        </w:rPr>
      </w:pPr>
      <w:r>
        <w:rPr>
          <w:noProof/>
          <w:sz w:val="18"/>
          <w:szCs w:val="18"/>
        </w:rPr>
        <w:pict>
          <v:shape id="_x0000_s1477" type="#_x0000_t202" style="position:absolute;left:0;text-align:left;margin-left:137.6pt;margin-top:31.5pt;width:130.25pt;height:12.2pt;z-index:251658240" fillcolor="#d8d8d8">
            <v:textbox style="mso-next-textbox:#_x0000_s1477" inset="1mm,.7pt,1mm,.7pt">
              <w:txbxContent>
                <w:p w:rsidR="00DF5476" w:rsidRPr="00195CF2" w:rsidRDefault="00DF5476" w:rsidP="00DF5476">
                  <w:pPr>
                    <w:spacing w:line="180" w:lineRule="exact"/>
                    <w:rPr>
                      <w:sz w:val="16"/>
                      <w:szCs w:val="16"/>
                    </w:rPr>
                  </w:pPr>
                  <w:r>
                    <w:rPr>
                      <w:rFonts w:hint="eastAsia"/>
                      <w:sz w:val="16"/>
                      <w:szCs w:val="16"/>
                    </w:rPr>
                    <w:t>DOI</w:t>
                  </w:r>
                  <w:r>
                    <w:rPr>
                      <w:rFonts w:hint="eastAsia"/>
                      <w:sz w:val="16"/>
                      <w:szCs w:val="16"/>
                    </w:rPr>
                    <w:t>がある場合は必ず記入すること</w:t>
                  </w:r>
                </w:p>
              </w:txbxContent>
            </v:textbox>
          </v:shape>
        </w:pict>
      </w:r>
      <w:r w:rsidR="000A3EDF" w:rsidRPr="000A3EDF">
        <w:rPr>
          <w:rFonts w:hint="eastAsia"/>
          <w:sz w:val="18"/>
          <w:szCs w:val="18"/>
        </w:rPr>
        <w:t>有本寛・中嶋晋作・富田康治</w:t>
      </w:r>
      <w:r w:rsidR="000A3EDF" w:rsidRPr="000A3EDF">
        <w:rPr>
          <w:rFonts w:hint="eastAsia"/>
          <w:sz w:val="18"/>
          <w:szCs w:val="18"/>
        </w:rPr>
        <w:t>(2014)</w:t>
      </w:r>
      <w:r w:rsidR="000A3EDF" w:rsidRPr="000A3EDF">
        <w:rPr>
          <w:rFonts w:hint="eastAsia"/>
          <w:sz w:val="18"/>
          <w:szCs w:val="18"/>
        </w:rPr>
        <w:t>「区画の交換</w:t>
      </w:r>
      <w:r w:rsidR="000A3EDF">
        <w:rPr>
          <w:rFonts w:hint="eastAsia"/>
          <w:sz w:val="18"/>
          <w:szCs w:val="18"/>
        </w:rPr>
        <w:t>による農地の団地化は</w:t>
      </w:r>
      <w:bookmarkStart w:id="0" w:name="_GoBack"/>
      <w:bookmarkEnd w:id="0"/>
      <w:r w:rsidR="000A3EDF">
        <w:rPr>
          <w:rFonts w:hint="eastAsia"/>
          <w:sz w:val="18"/>
          <w:szCs w:val="18"/>
        </w:rPr>
        <w:t>可能か？</w:t>
      </w:r>
      <w:r w:rsidR="000A3EDF" w:rsidRPr="000A3EDF">
        <w:rPr>
          <w:rFonts w:hint="eastAsia"/>
          <w:sz w:val="18"/>
          <w:szCs w:val="18"/>
        </w:rPr>
        <w:t>」『農業経済研究』</w:t>
      </w:r>
      <w:r w:rsidR="000A3EDF" w:rsidRPr="000A3EDF">
        <w:rPr>
          <w:rFonts w:hint="eastAsia"/>
          <w:sz w:val="18"/>
          <w:szCs w:val="18"/>
        </w:rPr>
        <w:t xml:space="preserve">86(3) </w:t>
      </w:r>
      <w:r w:rsidR="000A3EDF" w:rsidRPr="000A3EDF">
        <w:rPr>
          <w:rFonts w:hint="eastAsia"/>
          <w:sz w:val="18"/>
          <w:szCs w:val="18"/>
        </w:rPr>
        <w:t>：</w:t>
      </w:r>
      <w:r w:rsidR="000A3EDF" w:rsidRPr="000A3EDF">
        <w:rPr>
          <w:rFonts w:hint="eastAsia"/>
          <w:sz w:val="18"/>
          <w:szCs w:val="18"/>
        </w:rPr>
        <w:t xml:space="preserve"> 193-206 </w:t>
      </w:r>
      <w:r w:rsidR="000A3EDF" w:rsidRPr="000A3EDF">
        <w:rPr>
          <w:rFonts w:hint="eastAsia"/>
          <w:sz w:val="18"/>
          <w:szCs w:val="18"/>
        </w:rPr>
        <w:t>．</w:t>
      </w:r>
      <w:r w:rsidR="000A3EDF" w:rsidRPr="00B83C27">
        <w:rPr>
          <w:rFonts w:hint="eastAsia"/>
          <w:sz w:val="18"/>
          <w:szCs w:val="18"/>
        </w:rPr>
        <w:t>http://doi.org/10.11472/nokei.86.193</w:t>
      </w:r>
    </w:p>
    <w:p w:rsidR="00977997" w:rsidRPr="00875821" w:rsidRDefault="004F5ECA" w:rsidP="00875821">
      <w:pPr>
        <w:ind w:left="161" w:hangingChars="84" w:hanging="161"/>
        <w:rPr>
          <w:sz w:val="18"/>
          <w:szCs w:val="18"/>
        </w:rPr>
      </w:pPr>
      <w:r>
        <w:rPr>
          <w:noProof/>
        </w:rPr>
        <w:pict>
          <v:shape id="_x0000_s1478" type="#_x0000_t202" style="position:absolute;left:0;text-align:left;margin-left:161.25pt;margin-top:26.1pt;width:88.85pt;height:21pt;z-index:251659264" fillcolor="#d8d8d8">
            <v:textbox style="mso-next-textbox:#_x0000_s1478" inset="1mm,.7pt,1mm,.7pt">
              <w:txbxContent>
                <w:p w:rsidR="00DF5476" w:rsidRPr="00195CF2" w:rsidRDefault="00DF5476" w:rsidP="00DF5476">
                  <w:pPr>
                    <w:spacing w:line="180" w:lineRule="exact"/>
                    <w:rPr>
                      <w:sz w:val="16"/>
                      <w:szCs w:val="16"/>
                    </w:rPr>
                  </w:pPr>
                  <w:r>
                    <w:rPr>
                      <w:rFonts w:hint="eastAsia"/>
                      <w:sz w:val="16"/>
                      <w:szCs w:val="16"/>
                    </w:rPr>
                    <w:t>DOI</w:t>
                  </w:r>
                  <w:r>
                    <w:rPr>
                      <w:rFonts w:hint="eastAsia"/>
                      <w:sz w:val="16"/>
                      <w:szCs w:val="16"/>
                    </w:rPr>
                    <w:t>がある場合は必ず記入すること</w:t>
                  </w:r>
                </w:p>
              </w:txbxContent>
            </v:textbox>
          </v:shape>
        </w:pict>
      </w:r>
      <w:r w:rsidR="00977997" w:rsidRPr="00875821">
        <w:rPr>
          <w:rFonts w:hint="eastAsia"/>
          <w:sz w:val="18"/>
          <w:szCs w:val="18"/>
        </w:rPr>
        <w:t>B</w:t>
      </w:r>
      <w:r w:rsidR="00395DB0" w:rsidRPr="00875821">
        <w:rPr>
          <w:rFonts w:hint="eastAsia"/>
          <w:sz w:val="18"/>
          <w:szCs w:val="18"/>
        </w:rPr>
        <w:t>u</w:t>
      </w:r>
      <w:r w:rsidR="00977997" w:rsidRPr="00875821">
        <w:rPr>
          <w:rFonts w:hint="eastAsia"/>
          <w:sz w:val="18"/>
          <w:szCs w:val="18"/>
        </w:rPr>
        <w:t>rn</w:t>
      </w:r>
      <w:r w:rsidR="00395DB0" w:rsidRPr="00875821">
        <w:rPr>
          <w:rFonts w:hint="eastAsia"/>
          <w:sz w:val="18"/>
          <w:szCs w:val="18"/>
        </w:rPr>
        <w:t>s</w:t>
      </w:r>
      <w:r w:rsidR="00977997" w:rsidRPr="00875821">
        <w:rPr>
          <w:rFonts w:hint="eastAsia"/>
          <w:sz w:val="18"/>
          <w:szCs w:val="18"/>
        </w:rPr>
        <w:t>, A. K.</w:t>
      </w:r>
      <w:r w:rsidR="002338A2" w:rsidRPr="00875821">
        <w:rPr>
          <w:rFonts w:hint="eastAsia"/>
          <w:sz w:val="18"/>
          <w:szCs w:val="18"/>
        </w:rPr>
        <w:t xml:space="preserve"> (</w:t>
      </w:r>
      <w:r w:rsidR="00977997" w:rsidRPr="00875821">
        <w:rPr>
          <w:rFonts w:hint="eastAsia"/>
          <w:sz w:val="18"/>
          <w:szCs w:val="18"/>
        </w:rPr>
        <w:t>1985</w:t>
      </w:r>
      <w:r w:rsidR="002338A2" w:rsidRPr="00875821">
        <w:rPr>
          <w:rFonts w:hint="eastAsia"/>
          <w:sz w:val="18"/>
          <w:szCs w:val="18"/>
        </w:rPr>
        <w:t xml:space="preserve">) </w:t>
      </w:r>
      <w:r w:rsidR="00977997" w:rsidRPr="00875821">
        <w:rPr>
          <w:rFonts w:hint="eastAsia"/>
          <w:sz w:val="18"/>
          <w:szCs w:val="18"/>
        </w:rPr>
        <w:t>The M</w:t>
      </w:r>
      <w:r w:rsidR="007C0769" w:rsidRPr="00875821">
        <w:rPr>
          <w:rFonts w:hint="eastAsia"/>
          <w:sz w:val="18"/>
          <w:szCs w:val="18"/>
        </w:rPr>
        <w:t>in</w:t>
      </w:r>
      <w:r w:rsidR="00977997" w:rsidRPr="00875821">
        <w:rPr>
          <w:rFonts w:hint="eastAsia"/>
          <w:sz w:val="18"/>
          <w:szCs w:val="18"/>
        </w:rPr>
        <w:t>flex-laurent Translog Flexible F</w:t>
      </w:r>
      <w:r w:rsidR="007C0769" w:rsidRPr="00875821">
        <w:rPr>
          <w:rFonts w:hint="eastAsia"/>
          <w:sz w:val="18"/>
          <w:szCs w:val="18"/>
        </w:rPr>
        <w:t>u</w:t>
      </w:r>
      <w:r w:rsidR="00977997" w:rsidRPr="00875821">
        <w:rPr>
          <w:rFonts w:hint="eastAsia"/>
          <w:sz w:val="18"/>
          <w:szCs w:val="18"/>
        </w:rPr>
        <w:t xml:space="preserve">nctional Forms, </w:t>
      </w:r>
      <w:r w:rsidR="00977997" w:rsidRPr="00875821">
        <w:rPr>
          <w:rFonts w:hint="eastAsia"/>
          <w:i/>
          <w:sz w:val="18"/>
          <w:szCs w:val="18"/>
        </w:rPr>
        <w:t>Journal of Econometrics</w:t>
      </w:r>
      <w:r w:rsidR="00977997" w:rsidRPr="00875821">
        <w:rPr>
          <w:rFonts w:hint="eastAsia"/>
          <w:sz w:val="18"/>
          <w:szCs w:val="18"/>
        </w:rPr>
        <w:t xml:space="preserve"> 30</w:t>
      </w:r>
      <w:r w:rsidR="000A3EDF">
        <w:rPr>
          <w:rFonts w:hint="eastAsia"/>
          <w:sz w:val="18"/>
          <w:szCs w:val="18"/>
        </w:rPr>
        <w:t>(2)</w:t>
      </w:r>
      <w:r w:rsidR="002338A2" w:rsidRPr="00875821">
        <w:rPr>
          <w:rFonts w:hint="eastAsia"/>
          <w:sz w:val="18"/>
          <w:szCs w:val="18"/>
        </w:rPr>
        <w:t>:</w:t>
      </w:r>
      <w:r w:rsidR="00977997" w:rsidRPr="00875821">
        <w:rPr>
          <w:rFonts w:hint="eastAsia"/>
          <w:sz w:val="18"/>
          <w:szCs w:val="18"/>
        </w:rPr>
        <w:t xml:space="preserve"> 33-44</w:t>
      </w:r>
      <w:r w:rsidR="00721F63" w:rsidRPr="00875821">
        <w:rPr>
          <w:rFonts w:hint="eastAsia"/>
          <w:sz w:val="18"/>
          <w:szCs w:val="18"/>
        </w:rPr>
        <w:t>.</w:t>
      </w:r>
      <w:r w:rsidR="000A3EDF" w:rsidRPr="000A3EDF">
        <w:t xml:space="preserve"> </w:t>
      </w:r>
      <w:r w:rsidR="000A3EDF" w:rsidRPr="00B83C27">
        <w:rPr>
          <w:sz w:val="18"/>
          <w:szCs w:val="18"/>
        </w:rPr>
        <w:t>http://doi.org/10.1007/s10333-013-0368-0</w:t>
      </w:r>
      <w:r w:rsidR="000A3EDF" w:rsidRPr="000A3EDF">
        <w:rPr>
          <w:sz w:val="18"/>
          <w:szCs w:val="18"/>
        </w:rPr>
        <w:t>.</w:t>
      </w:r>
    </w:p>
    <w:p w:rsidR="00977997" w:rsidRPr="00875821" w:rsidRDefault="00395DB0" w:rsidP="00875821">
      <w:pPr>
        <w:ind w:left="145" w:hangingChars="84" w:hanging="145"/>
        <w:rPr>
          <w:sz w:val="18"/>
          <w:szCs w:val="18"/>
        </w:rPr>
      </w:pPr>
      <w:r w:rsidRPr="00875821">
        <w:rPr>
          <w:rFonts w:hint="eastAsia"/>
          <w:sz w:val="18"/>
          <w:szCs w:val="18"/>
        </w:rPr>
        <w:t xml:space="preserve">Dixitee, R. S. and </w:t>
      </w:r>
      <w:r w:rsidR="002338A2" w:rsidRPr="00875821">
        <w:rPr>
          <w:rFonts w:hint="eastAsia"/>
          <w:sz w:val="18"/>
          <w:szCs w:val="18"/>
        </w:rPr>
        <w:t xml:space="preserve">A. K. </w:t>
      </w:r>
      <w:r w:rsidRPr="00875821">
        <w:rPr>
          <w:rFonts w:hint="eastAsia"/>
          <w:sz w:val="18"/>
          <w:szCs w:val="18"/>
        </w:rPr>
        <w:t>Pindy</w:t>
      </w:r>
      <w:r w:rsidR="002338A2" w:rsidRPr="00875821">
        <w:rPr>
          <w:rFonts w:hint="eastAsia"/>
          <w:sz w:val="18"/>
          <w:szCs w:val="18"/>
        </w:rPr>
        <w:t xml:space="preserve"> (</w:t>
      </w:r>
      <w:r w:rsidRPr="00875821">
        <w:rPr>
          <w:rFonts w:hint="eastAsia"/>
          <w:sz w:val="18"/>
          <w:szCs w:val="18"/>
        </w:rPr>
        <w:t>1994</w:t>
      </w:r>
      <w:r w:rsidR="002338A2" w:rsidRPr="00875821">
        <w:rPr>
          <w:rFonts w:hint="eastAsia"/>
          <w:sz w:val="18"/>
          <w:szCs w:val="18"/>
        </w:rPr>
        <w:t xml:space="preserve">) </w:t>
      </w:r>
      <w:r w:rsidRPr="00875821">
        <w:rPr>
          <w:rFonts w:hint="eastAsia"/>
          <w:i/>
          <w:sz w:val="18"/>
          <w:szCs w:val="18"/>
        </w:rPr>
        <w:t>Investment Under Uncertainty</w:t>
      </w:r>
      <w:r w:rsidRPr="00875821">
        <w:rPr>
          <w:rFonts w:hint="eastAsia"/>
          <w:sz w:val="18"/>
          <w:szCs w:val="18"/>
        </w:rPr>
        <w:t>, Prince University Press.</w:t>
      </w:r>
    </w:p>
    <w:p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rsidR="005610BE" w:rsidRPr="00875821" w:rsidRDefault="000A3EDF" w:rsidP="00875821">
      <w:pPr>
        <w:ind w:left="145" w:hangingChars="84" w:hanging="145"/>
        <w:rPr>
          <w:sz w:val="18"/>
          <w:szCs w:val="18"/>
        </w:rPr>
      </w:pPr>
      <w:r w:rsidRPr="000A3EDF">
        <w:rPr>
          <w:sz w:val="18"/>
          <w:szCs w:val="18"/>
        </w:rPr>
        <w:t>Berogman, T. E. and W. K. Destwanger (2005) The Role of Information in Applied Consumption Analysis, in A. K. Weisman, ed., Economics of Consumer Behavior, London: White University Press, 111-133.</w:t>
      </w:r>
    </w:p>
    <w:p w:rsidR="007F6221" w:rsidRPr="007F6221" w:rsidRDefault="004F5ECA" w:rsidP="003B0872">
      <w:pPr>
        <w:ind w:left="145" w:hangingChars="84" w:hanging="145"/>
        <w:rPr>
          <w:szCs w:val="20"/>
        </w:rPr>
      </w:pPr>
      <w:r>
        <w:rPr>
          <w:noProof/>
          <w:sz w:val="18"/>
          <w:szCs w:val="18"/>
        </w:rPr>
        <w:pict>
          <v:shape id="_x0000_s1218" type="#_x0000_t202" style="position:absolute;left:0;text-align:left;margin-left:79.65pt;margin-top:5.1pt;width:170.6pt;height:25.2pt;z-index:9" fillcolor="#d8d8d8">
            <v:textbox style="mso-next-textbox:#_x0000_s1218" inset="1mm,.7pt,1mm,.7pt">
              <w:txbxContent>
                <w:p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v:textbox>
          </v:shape>
        </w:pict>
      </w: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CA" w:rsidRDefault="004F5ECA">
      <w:r>
        <w:separator/>
      </w:r>
    </w:p>
  </w:endnote>
  <w:endnote w:type="continuationSeparator" w:id="0">
    <w:p w:rsidR="004F5ECA" w:rsidRDefault="004F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20" w:rsidRDefault="00095CC8">
    <w:pPr>
      <w:pStyle w:val="a6"/>
      <w:jc w:val="center"/>
    </w:pPr>
    <w:r>
      <w:fldChar w:fldCharType="begin"/>
    </w:r>
    <w:r w:rsidR="009F4D20">
      <w:instrText>PAGE   \* MERGEFORMAT</w:instrText>
    </w:r>
    <w:r>
      <w:fldChar w:fldCharType="separate"/>
    </w:r>
    <w:r w:rsidR="00B83C27" w:rsidRPr="00B83C27">
      <w:rPr>
        <w:noProof/>
        <w:lang w:val="ja-JP"/>
      </w:rPr>
      <w:t>2</w:t>
    </w:r>
    <w:r>
      <w:fldChar w:fldCharType="end"/>
    </w:r>
  </w:p>
  <w:p w:rsidR="009F4D20" w:rsidRDefault="009F4D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CA" w:rsidRDefault="004F5ECA">
      <w:r>
        <w:separator/>
      </w:r>
    </w:p>
  </w:footnote>
  <w:footnote w:type="continuationSeparator" w:id="0">
    <w:p w:rsidR="004F5ECA" w:rsidRDefault="004F5ECA">
      <w:r>
        <w:continuationSeparator/>
      </w:r>
    </w:p>
  </w:footnote>
  <w:footnote w:id="1">
    <w:p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rsidR="00DE3D8F" w:rsidRPr="00DE3D8F" w:rsidRDefault="00DE3D8F">
      <w:pPr>
        <w:pStyle w:val="ae"/>
        <w:ind w:left="258" w:hanging="258"/>
      </w:pP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0028"/>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2290"/>
    <w:rsid w:val="00053408"/>
    <w:rsid w:val="0005771D"/>
    <w:rsid w:val="0006232C"/>
    <w:rsid w:val="00071316"/>
    <w:rsid w:val="00074F0E"/>
    <w:rsid w:val="000918C4"/>
    <w:rsid w:val="00095CC8"/>
    <w:rsid w:val="000A2746"/>
    <w:rsid w:val="000A36BE"/>
    <w:rsid w:val="000A3EDF"/>
    <w:rsid w:val="000B246C"/>
    <w:rsid w:val="000B2B0A"/>
    <w:rsid w:val="000B4282"/>
    <w:rsid w:val="000B6158"/>
    <w:rsid w:val="000B65BA"/>
    <w:rsid w:val="000C2DCA"/>
    <w:rsid w:val="000C4FA1"/>
    <w:rsid w:val="000C79ED"/>
    <w:rsid w:val="000D3249"/>
    <w:rsid w:val="000D41D4"/>
    <w:rsid w:val="000D791C"/>
    <w:rsid w:val="000E4320"/>
    <w:rsid w:val="000E435D"/>
    <w:rsid w:val="000E59FA"/>
    <w:rsid w:val="000E653C"/>
    <w:rsid w:val="000F4113"/>
    <w:rsid w:val="000F572E"/>
    <w:rsid w:val="000F7193"/>
    <w:rsid w:val="0010016C"/>
    <w:rsid w:val="00101E51"/>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11DF7"/>
    <w:rsid w:val="00314840"/>
    <w:rsid w:val="0031667C"/>
    <w:rsid w:val="003245A3"/>
    <w:rsid w:val="00330EB7"/>
    <w:rsid w:val="00334D8A"/>
    <w:rsid w:val="003424DA"/>
    <w:rsid w:val="00342593"/>
    <w:rsid w:val="003457CC"/>
    <w:rsid w:val="003535C7"/>
    <w:rsid w:val="00361A15"/>
    <w:rsid w:val="00362033"/>
    <w:rsid w:val="00366F64"/>
    <w:rsid w:val="00373BEB"/>
    <w:rsid w:val="0037606B"/>
    <w:rsid w:val="003804D5"/>
    <w:rsid w:val="003900D0"/>
    <w:rsid w:val="003921E7"/>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32D3"/>
    <w:rsid w:val="004B6290"/>
    <w:rsid w:val="004D0AC5"/>
    <w:rsid w:val="004D5F05"/>
    <w:rsid w:val="004D67D1"/>
    <w:rsid w:val="004E0000"/>
    <w:rsid w:val="004E0988"/>
    <w:rsid w:val="004F462E"/>
    <w:rsid w:val="004F5ECA"/>
    <w:rsid w:val="005021EA"/>
    <w:rsid w:val="00510EAA"/>
    <w:rsid w:val="00524EE9"/>
    <w:rsid w:val="005267C0"/>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7574"/>
    <w:rsid w:val="00637C8F"/>
    <w:rsid w:val="0064152C"/>
    <w:rsid w:val="0065090E"/>
    <w:rsid w:val="00653AF0"/>
    <w:rsid w:val="006548DF"/>
    <w:rsid w:val="0065569A"/>
    <w:rsid w:val="006607CA"/>
    <w:rsid w:val="00670644"/>
    <w:rsid w:val="00670B16"/>
    <w:rsid w:val="00671EC0"/>
    <w:rsid w:val="00673877"/>
    <w:rsid w:val="00680560"/>
    <w:rsid w:val="0068162F"/>
    <w:rsid w:val="00682D94"/>
    <w:rsid w:val="00683A55"/>
    <w:rsid w:val="00686B2C"/>
    <w:rsid w:val="00686BF1"/>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7B33"/>
    <w:rsid w:val="00717CA8"/>
    <w:rsid w:val="00717E0F"/>
    <w:rsid w:val="00721F63"/>
    <w:rsid w:val="00731AF0"/>
    <w:rsid w:val="00732A54"/>
    <w:rsid w:val="00736D0C"/>
    <w:rsid w:val="00740051"/>
    <w:rsid w:val="00740DD4"/>
    <w:rsid w:val="00743D47"/>
    <w:rsid w:val="0075008E"/>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3D1F"/>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04BED"/>
    <w:rsid w:val="00915F91"/>
    <w:rsid w:val="00920179"/>
    <w:rsid w:val="00922B97"/>
    <w:rsid w:val="00925195"/>
    <w:rsid w:val="009254DD"/>
    <w:rsid w:val="00926457"/>
    <w:rsid w:val="0093578D"/>
    <w:rsid w:val="00936F23"/>
    <w:rsid w:val="009412DF"/>
    <w:rsid w:val="0094425F"/>
    <w:rsid w:val="009469C6"/>
    <w:rsid w:val="009537BD"/>
    <w:rsid w:val="009555ED"/>
    <w:rsid w:val="00960261"/>
    <w:rsid w:val="00962762"/>
    <w:rsid w:val="009628F8"/>
    <w:rsid w:val="009753AD"/>
    <w:rsid w:val="00975D9B"/>
    <w:rsid w:val="00976CFF"/>
    <w:rsid w:val="00977997"/>
    <w:rsid w:val="00977C50"/>
    <w:rsid w:val="0099014F"/>
    <w:rsid w:val="00993493"/>
    <w:rsid w:val="00995806"/>
    <w:rsid w:val="00995F44"/>
    <w:rsid w:val="00997DB2"/>
    <w:rsid w:val="009A21F3"/>
    <w:rsid w:val="009A330B"/>
    <w:rsid w:val="009A58AE"/>
    <w:rsid w:val="009B331F"/>
    <w:rsid w:val="009B7F7C"/>
    <w:rsid w:val="009C0724"/>
    <w:rsid w:val="009C1E75"/>
    <w:rsid w:val="009D216E"/>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71E5"/>
    <w:rsid w:val="00AA7E5D"/>
    <w:rsid w:val="00AB64BA"/>
    <w:rsid w:val="00AC0B16"/>
    <w:rsid w:val="00AC163A"/>
    <w:rsid w:val="00AC3D24"/>
    <w:rsid w:val="00AC778F"/>
    <w:rsid w:val="00AD2579"/>
    <w:rsid w:val="00AE036A"/>
    <w:rsid w:val="00AE246C"/>
    <w:rsid w:val="00AE2B47"/>
    <w:rsid w:val="00AE71DC"/>
    <w:rsid w:val="00AF108F"/>
    <w:rsid w:val="00AF6132"/>
    <w:rsid w:val="00B0420B"/>
    <w:rsid w:val="00B045BE"/>
    <w:rsid w:val="00B10085"/>
    <w:rsid w:val="00B119A8"/>
    <w:rsid w:val="00B134ED"/>
    <w:rsid w:val="00B14D25"/>
    <w:rsid w:val="00B36E2B"/>
    <w:rsid w:val="00B40EEB"/>
    <w:rsid w:val="00B45E18"/>
    <w:rsid w:val="00B568A3"/>
    <w:rsid w:val="00B622CD"/>
    <w:rsid w:val="00B63573"/>
    <w:rsid w:val="00B70453"/>
    <w:rsid w:val="00B726E5"/>
    <w:rsid w:val="00B737A3"/>
    <w:rsid w:val="00B779C2"/>
    <w:rsid w:val="00B8088E"/>
    <w:rsid w:val="00B83821"/>
    <w:rsid w:val="00B83C27"/>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D08BF"/>
    <w:rsid w:val="00BD2098"/>
    <w:rsid w:val="00BD2546"/>
    <w:rsid w:val="00BF0303"/>
    <w:rsid w:val="00BF377E"/>
    <w:rsid w:val="00BF58F2"/>
    <w:rsid w:val="00C005B9"/>
    <w:rsid w:val="00C00F1F"/>
    <w:rsid w:val="00C22461"/>
    <w:rsid w:val="00C24833"/>
    <w:rsid w:val="00C25578"/>
    <w:rsid w:val="00C25AC2"/>
    <w:rsid w:val="00C27FBE"/>
    <w:rsid w:val="00C37996"/>
    <w:rsid w:val="00C42CBE"/>
    <w:rsid w:val="00C43862"/>
    <w:rsid w:val="00C47D64"/>
    <w:rsid w:val="00C6236E"/>
    <w:rsid w:val="00C62EFF"/>
    <w:rsid w:val="00C639FA"/>
    <w:rsid w:val="00C65B15"/>
    <w:rsid w:val="00C6766A"/>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4580"/>
    <w:rsid w:val="00D37CA8"/>
    <w:rsid w:val="00D402DD"/>
    <w:rsid w:val="00D4514B"/>
    <w:rsid w:val="00D45BCA"/>
    <w:rsid w:val="00D5529C"/>
    <w:rsid w:val="00D61AB4"/>
    <w:rsid w:val="00D648CF"/>
    <w:rsid w:val="00D67E72"/>
    <w:rsid w:val="00D71EAE"/>
    <w:rsid w:val="00D7285C"/>
    <w:rsid w:val="00D93E14"/>
    <w:rsid w:val="00D94448"/>
    <w:rsid w:val="00D95D5D"/>
    <w:rsid w:val="00DA2C53"/>
    <w:rsid w:val="00DA4015"/>
    <w:rsid w:val="00DA6BDE"/>
    <w:rsid w:val="00DA74BE"/>
    <w:rsid w:val="00DB2536"/>
    <w:rsid w:val="00DB79EC"/>
    <w:rsid w:val="00DC4CA0"/>
    <w:rsid w:val="00DC7E6E"/>
    <w:rsid w:val="00DD4CC2"/>
    <w:rsid w:val="00DE3D8F"/>
    <w:rsid w:val="00DE58BC"/>
    <w:rsid w:val="00DF5476"/>
    <w:rsid w:val="00DF57CA"/>
    <w:rsid w:val="00DF688C"/>
    <w:rsid w:val="00E000FA"/>
    <w:rsid w:val="00E0393D"/>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3CEE"/>
    <w:rsid w:val="00EA5C07"/>
    <w:rsid w:val="00EA7066"/>
    <w:rsid w:val="00EB38EE"/>
    <w:rsid w:val="00EC0569"/>
    <w:rsid w:val="00EC0CB6"/>
    <w:rsid w:val="00EC69AA"/>
    <w:rsid w:val="00EE04B5"/>
    <w:rsid w:val="00EE49FF"/>
    <w:rsid w:val="00EE569D"/>
    <w:rsid w:val="00EF00E7"/>
    <w:rsid w:val="00F0566C"/>
    <w:rsid w:val="00F11051"/>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6308E"/>
    <w:rsid w:val="00F81867"/>
    <w:rsid w:val="00F90741"/>
    <w:rsid w:val="00F97357"/>
    <w:rsid w:val="00F97392"/>
    <w:rsid w:val="00FA25F2"/>
    <w:rsid w:val="00FB030E"/>
    <w:rsid w:val="00FB0BC1"/>
    <w:rsid w:val="00FB2274"/>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arc" idref="#_x0000_s1314"/>
      </o:rules>
    </o:shapelayout>
  </w:shapeDefaults>
  <w:decimalSymbol w:val="."/>
  <w:listSeparator w:val=","/>
  <w15:docId w15:val="{DECA0554-3135-417E-AC92-AD4FCFF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character" w:styleId="af5">
    <w:name w:val="Placeholder Text"/>
    <w:basedOn w:val="a0"/>
    <w:uiPriority w:val="99"/>
    <w:semiHidden/>
    <w:rsid w:val="007F3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75249612"/>
        <w:category>
          <w:name w:val="全般"/>
          <w:gallery w:val="placeholder"/>
        </w:category>
        <w:types>
          <w:type w:val="bbPlcHdr"/>
        </w:types>
        <w:behaviors>
          <w:behavior w:val="content"/>
        </w:behaviors>
        <w:guid w:val="{914CABED-2496-4D50-9DF9-3F459FC6661C}"/>
      </w:docPartPr>
      <w:docPartBody>
        <w:p w:rsidR="00CB7C87" w:rsidRDefault="0075047D">
          <w:r w:rsidRPr="00C428C5">
            <w:rPr>
              <w:rStyle w:val="a3"/>
              <w:rFonts w:hint="eastAsia"/>
            </w:rPr>
            <w:t>ここに数式を入力します。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7D"/>
    <w:rsid w:val="00604C2D"/>
    <w:rsid w:val="0075047D"/>
    <w:rsid w:val="00775780"/>
    <w:rsid w:val="00B45C15"/>
    <w:rsid w:val="00CB7C87"/>
    <w:rsid w:val="00FA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04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58299-A451-4BE3-BDD8-7FD9A321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493</Words>
  <Characters>2815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FJ-USER</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安藤 光義</cp:lastModifiedBy>
  <cp:revision>5</cp:revision>
  <cp:lastPrinted>2016-06-28T00:08:00Z</cp:lastPrinted>
  <dcterms:created xsi:type="dcterms:W3CDTF">2019-04-02T05:10:00Z</dcterms:created>
  <dcterms:modified xsi:type="dcterms:W3CDTF">2020-04-15T02:28:00Z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